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436" w:rsidRPr="0020429F" w:rsidRDefault="0020429F" w:rsidP="00E459AD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REPUBLIKA</w:t>
      </w:r>
      <w:r w:rsidR="00D83436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SRPSKA</w:t>
      </w:r>
    </w:p>
    <w:p w:rsidR="007B3578" w:rsidRPr="0020429F" w:rsidRDefault="0020429F" w:rsidP="00E459AD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NARODNA</w:t>
      </w:r>
      <w:r w:rsidR="00D83436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SKUPŠTINA</w:t>
      </w:r>
    </w:p>
    <w:p w:rsidR="00D83436" w:rsidRPr="0020429F" w:rsidRDefault="00D83436" w:rsidP="00E459A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32218" w:rsidRPr="0020429F" w:rsidRDefault="00332218" w:rsidP="00E459A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83436" w:rsidRPr="0020429F" w:rsidRDefault="0020429F" w:rsidP="00E459A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</w:t>
      </w:r>
      <w:r w:rsidR="00D83436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83436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</w:t>
      </w:r>
      <w:r w:rsidR="00D83436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D83436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</w:t>
      </w:r>
      <w:r w:rsidR="00D83436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</w:t>
      </w:r>
      <w:r w:rsidR="00D83436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D83436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</w:t>
      </w:r>
    </w:p>
    <w:p w:rsidR="00D83436" w:rsidRPr="0020429F" w:rsidRDefault="0020429F" w:rsidP="00E459A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D83436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Sedme</w:t>
      </w:r>
      <w:r w:rsidR="00D83436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posebne</w:t>
      </w:r>
      <w:r w:rsidR="00D83436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sjednice</w:t>
      </w:r>
      <w:r w:rsidR="00D83436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="00D83436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="00D83436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D83436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</w:p>
    <w:p w:rsidR="00D83436" w:rsidRPr="0020429F" w:rsidRDefault="0020429F" w:rsidP="00E459A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održane</w:t>
      </w:r>
      <w:r w:rsidR="00D83436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8C6E93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11.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8C6E93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novembra</w:t>
      </w:r>
      <w:r w:rsidR="00D83436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2019.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</w:p>
    <w:p w:rsidR="00D83436" w:rsidRPr="0020429F" w:rsidRDefault="00D83436" w:rsidP="00E459A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83436" w:rsidRPr="0020429F" w:rsidRDefault="00D83436" w:rsidP="00E459A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Sedma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sjednica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održana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C6E93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11.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C6E93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2019.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Banjoj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Luci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83436" w:rsidRPr="0020429F" w:rsidRDefault="00D83436" w:rsidP="00E459A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Sjednica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zakazana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klubova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poslanika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SNSD</w:t>
      </w:r>
      <w:r w:rsidR="006241F0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DNS</w:t>
      </w:r>
      <w:r w:rsidR="006241F0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SP</w:t>
      </w:r>
      <w:r w:rsidR="006241F0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DEMOS</w:t>
      </w:r>
      <w:r w:rsidR="006241F0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NDP</w:t>
      </w:r>
      <w:r w:rsidR="006241F0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6241F0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828D0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poslaničke</w:t>
      </w:r>
      <w:r w:rsidR="00DF5F3E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="003A5C2D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171.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A5980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>(1)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A5980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172.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31/11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34/17).</w:t>
      </w:r>
    </w:p>
    <w:p w:rsidR="003061D1" w:rsidRPr="0020429F" w:rsidRDefault="00D83436" w:rsidP="00E459A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Nedeljko</w:t>
      </w:r>
      <w:r w:rsidR="003A46B0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Čubrilović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daljnjem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otvorio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Sedmu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posebnu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sjednicu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konstatovao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postoji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kvorum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061D1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odsustvo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najavio</w:t>
      </w:r>
      <w:r w:rsidR="003061D1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3061D1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poslanik</w:t>
      </w:r>
      <w:r w:rsidR="003061D1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Perica</w:t>
      </w:r>
      <w:r w:rsidR="003061D1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Bundalo</w:t>
      </w:r>
      <w:r w:rsidR="003061D1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459AD" w:rsidRPr="0020429F" w:rsidRDefault="00D83436" w:rsidP="003E10A6">
      <w:pPr>
        <w:spacing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početku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8D5DC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8D5DC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obavijestio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prisutne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raditi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iscrpi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dnevni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red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Sedme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dan</w:t>
      </w:r>
      <w:r w:rsidRPr="0020429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20429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01104F" w:rsidRPr="0020429F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okončanju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rasprave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A63750" w:rsidRPr="0020429F" w:rsidRDefault="006241F0" w:rsidP="00E459A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212B7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12B7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usvojila</w:t>
      </w:r>
      <w:r w:rsidR="00212B7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predloženi</w:t>
      </w:r>
    </w:p>
    <w:p w:rsidR="00E459AD" w:rsidRPr="0020429F" w:rsidRDefault="00E459AD" w:rsidP="00E459A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83436" w:rsidRPr="0020429F" w:rsidRDefault="0020429F" w:rsidP="00E459A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DNEVNI</w:t>
      </w:r>
      <w:r w:rsidR="00D83436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</w:t>
      </w:r>
    </w:p>
    <w:p w:rsidR="00E459AD" w:rsidRPr="0020429F" w:rsidRDefault="00E459AD" w:rsidP="00E459AD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FF0000"/>
          <w:sz w:val="24"/>
          <w:szCs w:val="24"/>
          <w:lang w:val="sr-Latn-CS"/>
        </w:rPr>
      </w:pPr>
    </w:p>
    <w:p w:rsidR="00E459AD" w:rsidRPr="0020429F" w:rsidRDefault="00796AC2" w:rsidP="003E10A6">
      <w:pPr>
        <w:spacing w:after="120" w:line="240" w:lineRule="auto"/>
        <w:ind w:firstLine="35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0429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1. </w:t>
      </w:r>
      <w:r w:rsidR="0020429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Informacija</w:t>
      </w:r>
      <w:r w:rsidRPr="0020429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20429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Pr="0020429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20429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neustavnoj</w:t>
      </w:r>
      <w:r w:rsidR="00A9139F" w:rsidRPr="0020429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20429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transformaciji</w:t>
      </w:r>
      <w:r w:rsidR="00A9139F" w:rsidRPr="0020429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20429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dejtonske</w:t>
      </w:r>
      <w:r w:rsidRPr="0020429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20429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strukture</w:t>
      </w:r>
      <w:r w:rsidRPr="0020429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20429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Bosne</w:t>
      </w:r>
      <w:r w:rsidRPr="0020429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20429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20429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20429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Hercegovine</w:t>
      </w:r>
      <w:r w:rsidRPr="0020429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20429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20429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20429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uticaju</w:t>
      </w:r>
      <w:r w:rsidRPr="0020429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20429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</w:t>
      </w:r>
      <w:r w:rsidR="0060515A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položaj</w:t>
      </w:r>
      <w:r w:rsidR="0060515A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0515A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prava</w:t>
      </w:r>
      <w:r w:rsidR="0060515A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60515A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3061D1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 w:rsid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3061D1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narodnih</w:t>
      </w:r>
      <w:r w:rsidR="003061D1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poslanika</w:t>
      </w:r>
      <w:r w:rsidR="0060515A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459AD" w:rsidRPr="003E10A6" w:rsidRDefault="0020429F" w:rsidP="003E10A6">
      <w:pPr>
        <w:pStyle w:val="ListParagraph"/>
        <w:spacing w:after="120"/>
        <w:ind w:left="0"/>
        <w:contextualSpacing w:val="0"/>
        <w:jc w:val="both"/>
        <w:rPr>
          <w:rFonts w:ascii="Times New Roman" w:hAnsi="Times New Roman"/>
          <w:b/>
          <w:i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sa</w:t>
      </w:r>
      <w:r w:rsidR="00D83436" w:rsidRPr="0020429F">
        <w:rPr>
          <w:rFonts w:ascii="Times New Roman" w:hAnsi="Times New Roman"/>
          <w:b/>
          <w:noProof/>
          <w:lang w:val="sr-Latn-CS"/>
        </w:rPr>
        <w:t xml:space="preserve"> </w:t>
      </w:r>
      <w:r w:rsidR="00177CC2" w:rsidRPr="0020429F">
        <w:rPr>
          <w:rFonts w:ascii="Times New Roman" w:hAnsi="Times New Roman"/>
          <w:b/>
          <w:i/>
          <w:noProof/>
          <w:lang w:val="sr-Latn-CS"/>
        </w:rPr>
        <w:t>55</w:t>
      </w:r>
      <w:r w:rsidR="00D83436" w:rsidRPr="0020429F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glasova</w:t>
      </w:r>
      <w:r w:rsidR="00D83436" w:rsidRPr="0020429F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F4089D" w:rsidRPr="0020429F">
        <w:rPr>
          <w:rFonts w:ascii="Times New Roman" w:hAnsi="Times New Roman"/>
          <w:b/>
          <w:i/>
          <w:noProof/>
          <w:lang w:val="sr-Latn-CS"/>
        </w:rPr>
        <w:t>''</w:t>
      </w:r>
      <w:r>
        <w:rPr>
          <w:rFonts w:ascii="Times New Roman" w:hAnsi="Times New Roman"/>
          <w:b/>
          <w:i/>
          <w:noProof/>
          <w:lang w:val="sr-Latn-CS"/>
        </w:rPr>
        <w:t>za</w:t>
      </w:r>
      <w:r w:rsidR="00F4089D" w:rsidRPr="0020429F">
        <w:rPr>
          <w:rFonts w:ascii="Times New Roman" w:hAnsi="Times New Roman"/>
          <w:b/>
          <w:i/>
          <w:noProof/>
          <w:lang w:val="sr-Latn-CS"/>
        </w:rPr>
        <w:t>''</w:t>
      </w:r>
      <w:r w:rsidR="00D83436" w:rsidRPr="0020429F">
        <w:rPr>
          <w:rFonts w:ascii="Times New Roman" w:hAnsi="Times New Roman"/>
          <w:b/>
          <w:i/>
          <w:noProof/>
          <w:lang w:val="sr-Latn-CS"/>
        </w:rPr>
        <w:t xml:space="preserve">, </w:t>
      </w:r>
      <w:r>
        <w:rPr>
          <w:rFonts w:ascii="Times New Roman" w:hAnsi="Times New Roman"/>
          <w:b/>
          <w:i/>
          <w:noProof/>
          <w:lang w:val="sr-Latn-CS"/>
        </w:rPr>
        <w:t>tri</w:t>
      </w:r>
      <w:r w:rsidR="00D83436" w:rsidRPr="0020429F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F4089D" w:rsidRPr="0020429F">
        <w:rPr>
          <w:rFonts w:ascii="Times New Roman" w:hAnsi="Times New Roman"/>
          <w:b/>
          <w:i/>
          <w:noProof/>
          <w:lang w:val="sr-Latn-CS"/>
        </w:rPr>
        <w:t>''</w:t>
      </w:r>
      <w:r>
        <w:rPr>
          <w:rFonts w:ascii="Times New Roman" w:hAnsi="Times New Roman"/>
          <w:b/>
          <w:i/>
          <w:noProof/>
          <w:lang w:val="sr-Latn-CS"/>
        </w:rPr>
        <w:t>protiv</w:t>
      </w:r>
      <w:r w:rsidR="00F4089D" w:rsidRPr="0020429F">
        <w:rPr>
          <w:rFonts w:ascii="Times New Roman" w:hAnsi="Times New Roman"/>
          <w:b/>
          <w:i/>
          <w:noProof/>
          <w:lang w:val="sr-Latn-CS"/>
        </w:rPr>
        <w:t>''</w:t>
      </w:r>
      <w:r w:rsidR="00D83436" w:rsidRPr="0020429F">
        <w:rPr>
          <w:rFonts w:ascii="Times New Roman" w:hAnsi="Times New Roman"/>
          <w:b/>
          <w:i/>
          <w:noProof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lang w:val="sr-Latn-CS"/>
        </w:rPr>
        <w:t>i</w:t>
      </w:r>
      <w:r w:rsidR="00D83436" w:rsidRPr="0020429F">
        <w:rPr>
          <w:rFonts w:ascii="Times New Roman" w:hAnsi="Times New Roman"/>
          <w:b/>
          <w:i/>
          <w:noProof/>
          <w:lang w:val="sr-Latn-CS"/>
        </w:rPr>
        <w:t xml:space="preserve"> </w:t>
      </w:r>
      <w:r w:rsidR="00177CC2" w:rsidRPr="0020429F">
        <w:rPr>
          <w:rFonts w:ascii="Times New Roman" w:hAnsi="Times New Roman"/>
          <w:b/>
          <w:i/>
          <w:noProof/>
          <w:lang w:val="sr-Latn-CS"/>
        </w:rPr>
        <w:t>1</w:t>
      </w:r>
      <w:r w:rsidR="00D83436" w:rsidRPr="0020429F">
        <w:rPr>
          <w:rFonts w:ascii="Times New Roman" w:hAnsi="Times New Roman"/>
          <w:b/>
          <w:i/>
          <w:noProof/>
          <w:lang w:val="sr-Latn-CS"/>
        </w:rPr>
        <w:t xml:space="preserve">8 </w:t>
      </w:r>
      <w:r w:rsidR="00F4089D" w:rsidRPr="0020429F">
        <w:rPr>
          <w:rFonts w:ascii="Times New Roman" w:hAnsi="Times New Roman"/>
          <w:b/>
          <w:i/>
          <w:noProof/>
          <w:lang w:val="sr-Latn-CS"/>
        </w:rPr>
        <w:t>''</w:t>
      </w:r>
      <w:r>
        <w:rPr>
          <w:rFonts w:ascii="Times New Roman" w:hAnsi="Times New Roman"/>
          <w:b/>
          <w:i/>
          <w:noProof/>
          <w:lang w:val="sr-Latn-CS"/>
        </w:rPr>
        <w:t>uzdržanih</w:t>
      </w:r>
      <w:r w:rsidR="00F4089D" w:rsidRPr="0020429F">
        <w:rPr>
          <w:rFonts w:ascii="Times New Roman" w:hAnsi="Times New Roman"/>
          <w:b/>
          <w:i/>
          <w:noProof/>
          <w:lang w:val="sr-Latn-CS"/>
        </w:rPr>
        <w:t>''</w:t>
      </w:r>
      <w:r w:rsidR="00D83436" w:rsidRPr="0020429F">
        <w:rPr>
          <w:rFonts w:ascii="Times New Roman" w:hAnsi="Times New Roman"/>
          <w:b/>
          <w:i/>
          <w:noProof/>
          <w:lang w:val="sr-Latn-CS"/>
        </w:rPr>
        <w:t>.</w:t>
      </w:r>
    </w:p>
    <w:p w:rsidR="00E459AD" w:rsidRPr="0020429F" w:rsidRDefault="00D83436" w:rsidP="003E10A6">
      <w:pPr>
        <w:spacing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F4089D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1104F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prešlo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razmatranje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83436" w:rsidRPr="003E10A6" w:rsidRDefault="0020429F" w:rsidP="003E10A6">
      <w:pPr>
        <w:spacing w:after="120" w:line="240" w:lineRule="auto"/>
        <w:ind w:firstLine="35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Ad</w:t>
      </w:r>
      <w:r w:rsidR="00D83436" w:rsidRPr="0020429F">
        <w:rPr>
          <w:rFonts w:ascii="Times New Roman" w:hAnsi="Times New Roman" w:cs="Times New Roman"/>
          <w:b/>
          <w:noProof/>
          <w:lang w:val="sr-Latn-CS"/>
        </w:rPr>
        <w:t xml:space="preserve"> – 1:</w:t>
      </w:r>
      <w:r w:rsidR="00D83436" w:rsidRPr="0020429F">
        <w:rPr>
          <w:rFonts w:ascii="Times New Roman" w:hAnsi="Times New Roman" w:cs="Times New Roman"/>
          <w:noProof/>
          <w:lang w:val="sr-Latn-CS"/>
        </w:rPr>
        <w:t xml:space="preserve"> </w:t>
      </w:r>
      <w:r w:rsidR="00796AC2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Informacija</w:t>
      </w:r>
      <w:r w:rsidR="00796AC2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96AC2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neustavnoj</w:t>
      </w:r>
      <w:r w:rsidR="00A9139F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transformaciji</w:t>
      </w:r>
      <w:r w:rsidR="00A9139F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dejtonske</w:t>
      </w:r>
      <w:r w:rsidR="00796AC2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strukture</w:t>
      </w:r>
      <w:r w:rsidR="00796AC2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796AC2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796AC2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  <w:r w:rsidR="00796AC2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796AC2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uticaju</w:t>
      </w:r>
      <w:r w:rsidR="00796AC2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60515A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položaj</w:t>
      </w:r>
      <w:r w:rsidR="0060515A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0515A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prava</w:t>
      </w:r>
      <w:r w:rsidR="0060515A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60515A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</w:p>
    <w:p w:rsidR="00525A84" w:rsidRPr="0020429F" w:rsidRDefault="0020429F" w:rsidP="003E10A6">
      <w:pPr>
        <w:spacing w:after="120" w:line="240" w:lineRule="auto"/>
        <w:ind w:firstLine="35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predlagača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uvodno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izlaganje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podnio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Žunić</w:t>
      </w:r>
      <w:r w:rsidR="00E1612A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E1612A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poslanik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70594" w:rsidRPr="0020429F" w:rsidRDefault="0020429F" w:rsidP="00332218">
      <w:pPr>
        <w:spacing w:after="0" w:line="240" w:lineRule="auto"/>
        <w:ind w:firstLine="35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Zatim</w:t>
      </w:r>
      <w:r w:rsidR="0010115D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10115D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odobrenju</w:t>
      </w:r>
      <w:r w:rsidR="0010115D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Kolegijuma</w:t>
      </w:r>
      <w:r w:rsidR="006351D0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FC2DB3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1612A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0115D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narodnim</w:t>
      </w:r>
      <w:r w:rsidR="0010115D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poslanicima</w:t>
      </w:r>
      <w:r w:rsidR="0010115D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10115D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obratio</w:t>
      </w:r>
      <w:r w:rsidR="007877F7" w:rsidRPr="0020429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Milorad</w:t>
      </w:r>
      <w:r w:rsidR="00E1612A" w:rsidRPr="0020429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Dodik</w:t>
      </w:r>
      <w:r w:rsidR="00E1612A" w:rsidRPr="0020429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877F7" w:rsidRPr="0020429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Predsjedništva</w:t>
      </w:r>
      <w:r w:rsidR="007877F7" w:rsidRPr="0020429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Bosne</w:t>
      </w:r>
      <w:r w:rsidR="007877F7" w:rsidRPr="0020429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877F7" w:rsidRPr="0020429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Hercegovine</w:t>
      </w:r>
      <w:r w:rsidR="00E1612A" w:rsidRPr="0020429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E1612A" w:rsidRPr="0020429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reda</w:t>
      </w:r>
      <w:r w:rsidR="00E1612A" w:rsidRPr="0020429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srpskog</w:t>
      </w:r>
      <w:r w:rsidR="00E1612A" w:rsidRPr="0020429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naroda</w:t>
      </w:r>
      <w:r w:rsidR="00E1612A" w:rsidRPr="0020429F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7877F7" w:rsidRPr="0020429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E1612A" w:rsidRPr="0020429F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7A3A55" w:rsidRPr="0020429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Kolegijum</w:t>
      </w:r>
      <w:r w:rsidR="007A3A55" w:rsidRPr="0020429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A3A55" w:rsidRPr="0020429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odobrio</w:t>
      </w:r>
      <w:r w:rsidR="007A3A55" w:rsidRPr="0020429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obraćanje</w:t>
      </w:r>
      <w:r w:rsidR="007A3A55" w:rsidRPr="0020429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predsjednicima</w:t>
      </w:r>
      <w:r w:rsidR="0060159B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parlamentarnih</w:t>
      </w:r>
      <w:r w:rsidR="0060159B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političkih</w:t>
      </w:r>
      <w:r w:rsidR="007A3A5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stranaka</w:t>
      </w:r>
      <w:r w:rsidR="0060159B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0159B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Narodnoj</w:t>
      </w:r>
      <w:r w:rsidR="0060159B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skupštini</w:t>
      </w:r>
      <w:r w:rsidR="0060159B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0159B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A4CD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A4CD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CA4CD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uputili</w:t>
      </w:r>
      <w:r w:rsidR="00CA4CD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CA4CD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A4CD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obraćanje</w:t>
      </w:r>
      <w:r w:rsidR="0060159B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0159B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60159B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60159B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minuta</w:t>
      </w:r>
      <w:r w:rsidR="0060159B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5333AB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5333AB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333AB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isti</w:t>
      </w:r>
      <w:r w:rsidR="005333AB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obratili</w:t>
      </w:r>
      <w:r w:rsidR="005333AB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sljedećim</w:t>
      </w:r>
      <w:r w:rsidR="005333AB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redoslijedom</w:t>
      </w:r>
      <w:r w:rsidR="005333AB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32218" w:rsidRPr="0020429F" w:rsidRDefault="00332218" w:rsidP="00332218">
      <w:pPr>
        <w:spacing w:after="0" w:line="240" w:lineRule="auto"/>
        <w:ind w:firstLine="357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351D0" w:rsidRPr="0020429F" w:rsidRDefault="0020429F" w:rsidP="006351D0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Mirko</w:t>
      </w:r>
      <w:r w:rsidR="00332218" w:rsidRPr="0020429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Šarović</w:t>
      </w:r>
      <w:r w:rsidR="00332218" w:rsidRPr="0020429F">
        <w:rPr>
          <w:rFonts w:ascii="Times New Roman" w:hAnsi="Times New Roman"/>
          <w:noProof/>
          <w:lang w:val="sr-Latn-CS"/>
        </w:rPr>
        <w:t xml:space="preserve"> –</w:t>
      </w:r>
      <w:r w:rsidR="0049349E" w:rsidRPr="0020429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SDS</w:t>
      </w:r>
      <w:r w:rsidR="00332218" w:rsidRPr="0020429F">
        <w:rPr>
          <w:rFonts w:ascii="Times New Roman" w:hAnsi="Times New Roman"/>
          <w:noProof/>
          <w:lang w:val="sr-Latn-CS"/>
        </w:rPr>
        <w:t>,</w:t>
      </w:r>
    </w:p>
    <w:p w:rsidR="00FC2DB3" w:rsidRPr="0020429F" w:rsidRDefault="0020429F" w:rsidP="006351D0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Branislav</w:t>
      </w:r>
      <w:r w:rsidR="00332218" w:rsidRPr="0020429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Borenović</w:t>
      </w:r>
      <w:r w:rsidR="00332218" w:rsidRPr="0020429F">
        <w:rPr>
          <w:rFonts w:ascii="Times New Roman" w:hAnsi="Times New Roman"/>
          <w:noProof/>
          <w:lang w:val="sr-Latn-CS"/>
        </w:rPr>
        <w:t xml:space="preserve"> –</w:t>
      </w:r>
      <w:r w:rsidR="0049349E" w:rsidRPr="0020429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PDP</w:t>
      </w:r>
      <w:r w:rsidR="00332218" w:rsidRPr="0020429F">
        <w:rPr>
          <w:rFonts w:ascii="Times New Roman" w:hAnsi="Times New Roman"/>
          <w:noProof/>
          <w:lang w:val="sr-Latn-CS"/>
        </w:rPr>
        <w:t>,</w:t>
      </w:r>
    </w:p>
    <w:p w:rsidR="00FC2DB3" w:rsidRPr="0020429F" w:rsidRDefault="0020429F" w:rsidP="006351D0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Petar</w:t>
      </w:r>
      <w:r w:rsidR="0049349E" w:rsidRPr="0020429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Đokić</w:t>
      </w:r>
      <w:r w:rsidR="0049349E" w:rsidRPr="0020429F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SP</w:t>
      </w:r>
      <w:r w:rsidR="00332218" w:rsidRPr="0020429F">
        <w:rPr>
          <w:rFonts w:ascii="Times New Roman" w:hAnsi="Times New Roman"/>
          <w:noProof/>
          <w:lang w:val="sr-Latn-CS"/>
        </w:rPr>
        <w:t>,</w:t>
      </w:r>
    </w:p>
    <w:p w:rsidR="0049349E" w:rsidRPr="0020429F" w:rsidRDefault="0020429F" w:rsidP="006351D0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Nenad</w:t>
      </w:r>
      <w:r w:rsidR="0049349E" w:rsidRPr="0020429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Stevandić</w:t>
      </w:r>
      <w:r w:rsidR="0049349E" w:rsidRPr="0020429F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US</w:t>
      </w:r>
      <w:r w:rsidR="00CA4CDC" w:rsidRPr="0020429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</w:p>
    <w:p w:rsidR="0049349E" w:rsidRPr="0020429F" w:rsidRDefault="0020429F" w:rsidP="00E12AA2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Dragan</w:t>
      </w:r>
      <w:r w:rsidR="00AE4E8D" w:rsidRPr="0020429F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Čavić</w:t>
      </w:r>
      <w:r w:rsidR="00332218" w:rsidRPr="0020429F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NDP</w:t>
      </w:r>
      <w:r w:rsidR="00332218" w:rsidRPr="0020429F">
        <w:rPr>
          <w:rFonts w:ascii="Times New Roman" w:hAnsi="Times New Roman"/>
          <w:noProof/>
          <w:lang w:val="sr-Latn-CS"/>
        </w:rPr>
        <w:t>.</w:t>
      </w:r>
    </w:p>
    <w:p w:rsidR="00CA0840" w:rsidRPr="0020429F" w:rsidRDefault="00CA0840" w:rsidP="00332218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E12AA2" w:rsidRPr="003E10A6" w:rsidRDefault="0020429F" w:rsidP="003E10A6">
      <w:pPr>
        <w:spacing w:after="120" w:line="240" w:lineRule="auto"/>
        <w:ind w:firstLine="35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80193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poslaničkoj</w:t>
      </w:r>
      <w:r w:rsidR="00180193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raspravi</w:t>
      </w:r>
      <w:r w:rsidR="00180193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učestvovali</w:t>
      </w:r>
      <w:r w:rsidR="00180193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180193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Željka</w:t>
      </w:r>
      <w:r w:rsidR="005333AB" w:rsidRPr="0020429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Cvijanović</w:t>
      </w:r>
      <w:r w:rsidR="005333AB" w:rsidRPr="0020429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Milorad</w:t>
      </w:r>
      <w:r w:rsidR="001E6022" w:rsidRPr="0020429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Dodik</w:t>
      </w:r>
      <w:r w:rsidR="001E6022" w:rsidRPr="0020429F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5333AB" w:rsidRPr="0020429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Radovan</w:t>
      </w:r>
      <w:r w:rsidR="001E6022" w:rsidRPr="0020429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Višković</w:t>
      </w:r>
      <w:r w:rsidR="001E6022" w:rsidRPr="0020429F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Jelena</w:t>
      </w:r>
      <w:r w:rsidR="00D872CB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Trivić</w:t>
      </w:r>
      <w:r w:rsidR="00D872CB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="00CA0840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Crnadak</w:t>
      </w:r>
      <w:r w:rsidR="00A53EED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Nebojša</w:t>
      </w:r>
      <w:r w:rsidR="00A53EED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Vukanović</w:t>
      </w:r>
      <w:r w:rsidR="00A53EED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Duško</w:t>
      </w:r>
      <w:r w:rsidR="00A53EED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Ivić</w:t>
      </w:r>
      <w:r w:rsidR="00A53EED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Draško</w:t>
      </w:r>
      <w:r w:rsidR="00A53EED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Stanivuković</w:t>
      </w:r>
      <w:r w:rsidR="00A53EED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Spomenka</w:t>
      </w:r>
      <w:r w:rsidR="00EB283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Stevanović</w:t>
      </w:r>
      <w:r w:rsidR="00EB283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="00EB283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Galić</w:t>
      </w:r>
      <w:r w:rsidR="00EB283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Senad</w:t>
      </w:r>
      <w:r w:rsidR="00F440C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Bratić</w:t>
      </w:r>
      <w:r w:rsidR="00F440C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Tomica</w:t>
      </w:r>
      <w:r w:rsidR="00F440C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Stojanović</w:t>
      </w:r>
      <w:r w:rsidR="00F440C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Edin</w:t>
      </w:r>
      <w:r w:rsidR="00F440C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Ramić</w:t>
      </w:r>
      <w:r w:rsidR="00F440C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Gordana</w:t>
      </w:r>
      <w:r w:rsidR="00D67DE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Vidović</w:t>
      </w:r>
      <w:r w:rsidR="00D67DE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Davor</w:t>
      </w:r>
      <w:r w:rsidR="00D67DE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Šešić</w:t>
      </w:r>
      <w:r w:rsidR="00D67DE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Ljubiša</w:t>
      </w:r>
      <w:r w:rsidR="00D67DE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Krunić</w:t>
      </w:r>
      <w:r w:rsidR="00D67DE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Nedeljko</w:t>
      </w:r>
      <w:r w:rsidR="00855D3B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Glamočak</w:t>
      </w:r>
      <w:r w:rsidR="00855D3B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706DE0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Petković</w:t>
      </w:r>
      <w:r w:rsidR="00706DE0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Begija</w:t>
      </w:r>
      <w:r w:rsidR="00706DE0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Smajić</w:t>
      </w:r>
      <w:r w:rsidR="00706DE0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</w:t>
      </w:r>
      <w:r w:rsidR="00706DE0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Skoko</w:t>
      </w:r>
      <w:r w:rsidR="00706DE0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Goran</w:t>
      </w:r>
      <w:r w:rsidR="00706DE0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Selak</w:t>
      </w:r>
      <w:r w:rsidR="00706DE0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Dušica</w:t>
      </w:r>
      <w:r w:rsidR="00706DE0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Šolaja</w:t>
      </w:r>
      <w:r w:rsidR="00706DE0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Miladin</w:t>
      </w:r>
      <w:r w:rsidR="00AE3118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Stanić</w:t>
      </w:r>
      <w:r w:rsidR="00AE3118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AE3118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Tubin</w:t>
      </w:r>
      <w:r w:rsidR="00AE3118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Sonja</w:t>
      </w:r>
      <w:r w:rsidR="00AE3118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Karadžić</w:t>
      </w:r>
      <w:r w:rsidR="00AE3118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Jovičević</w:t>
      </w:r>
      <w:r w:rsidR="0081280F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1280F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Valerija</w:t>
      </w:r>
      <w:r w:rsidR="0081280F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Lakić</w:t>
      </w:r>
      <w:r w:rsidR="0081280F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C1806" w:rsidRPr="0020429F" w:rsidRDefault="0020429F" w:rsidP="003E10A6">
      <w:pPr>
        <w:spacing w:after="120" w:line="240" w:lineRule="auto"/>
        <w:ind w:firstLine="28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Zaključena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rasprava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tački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dnevnog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60048" w:rsidRPr="0020429F" w:rsidRDefault="0020429F" w:rsidP="003E10A6">
      <w:pPr>
        <w:spacing w:after="120" w:line="240" w:lineRule="auto"/>
        <w:ind w:firstLine="28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Završnu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riječ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dao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Žunić</w:t>
      </w:r>
      <w:r w:rsidR="00332218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332218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poslanik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E10A6" w:rsidRPr="003E10A6" w:rsidRDefault="0020429F" w:rsidP="003E10A6">
      <w:pPr>
        <w:spacing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>Nakon</w:t>
      </w:r>
      <w:r w:rsidR="00760048" w:rsidRPr="0020429F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>završetka</w:t>
      </w:r>
      <w:r w:rsidR="00760048" w:rsidRPr="0020429F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>rasprave</w:t>
      </w:r>
      <w:r w:rsidR="00760048" w:rsidRPr="0020429F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>po</w:t>
      </w:r>
      <w:r w:rsidR="00760048" w:rsidRPr="0020429F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>tački</w:t>
      </w:r>
      <w:r w:rsidR="00760048" w:rsidRPr="0020429F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>dnevnog</w:t>
      </w:r>
      <w:r w:rsidR="00760048" w:rsidRPr="0020429F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>reda</w:t>
      </w:r>
      <w:r w:rsidR="00760048" w:rsidRPr="0020429F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>Sedme</w:t>
      </w:r>
      <w:r w:rsidR="00760048" w:rsidRPr="0020429F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>posebne</w:t>
      </w:r>
      <w:r w:rsidR="00760048" w:rsidRPr="0020429F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>sjednice</w:t>
      </w:r>
      <w:r w:rsidR="00760048" w:rsidRPr="0020429F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>prešlo</w:t>
      </w:r>
      <w:r w:rsidR="00760048" w:rsidRPr="0020429F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>se</w:t>
      </w:r>
      <w:r w:rsidR="00760048" w:rsidRPr="0020429F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>u</w:t>
      </w:r>
      <w:r w:rsidR="00760048" w:rsidRPr="0020429F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u w:val="single"/>
          <w:lang w:val="sr-Latn-CS"/>
        </w:rPr>
        <w:t>dan</w:t>
      </w:r>
      <w:r w:rsidR="00332218" w:rsidRPr="0020429F">
        <w:rPr>
          <w:rFonts w:ascii="Times New Roman" w:eastAsia="Times New Roman" w:hAnsi="Times New Roman" w:cs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u w:val="single"/>
          <w:lang w:val="sr-Latn-CS"/>
        </w:rPr>
        <w:t>za</w:t>
      </w:r>
      <w:r w:rsidR="00332218" w:rsidRPr="0020429F">
        <w:rPr>
          <w:rFonts w:ascii="Times New Roman" w:eastAsia="Times New Roman" w:hAnsi="Times New Roman" w:cs="Times New Roman"/>
          <w:b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u w:val="single"/>
          <w:lang w:val="sr-Latn-CS"/>
        </w:rPr>
        <w:t>glasanje</w:t>
      </w:r>
      <w:r w:rsidR="00760048" w:rsidRPr="0020429F">
        <w:rPr>
          <w:rFonts w:ascii="Times New Roman" w:eastAsia="Times New Roman" w:hAnsi="Times New Roman" w:cs="Times New Roman"/>
          <w:i/>
          <w:noProof/>
          <w:sz w:val="24"/>
          <w:szCs w:val="24"/>
          <w:u w:val="single"/>
          <w:lang w:val="sr-Latn-CS"/>
        </w:rPr>
        <w:t>.</w:t>
      </w:r>
    </w:p>
    <w:p w:rsidR="00AC19FC" w:rsidRPr="0020429F" w:rsidRDefault="0020429F" w:rsidP="003E10A6">
      <w:pPr>
        <w:spacing w:after="120" w:line="240" w:lineRule="auto"/>
        <w:ind w:firstLine="28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CA279A" w:rsidRPr="0020429F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CA279A" w:rsidRPr="0020429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D83436" w:rsidRPr="0020429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332218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F5A55" w:rsidRPr="0020429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5F5A5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="005F5A5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332218" w:rsidRPr="0020429F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,</w:t>
      </w:r>
      <w:r w:rsidR="00CA279A" w:rsidRPr="0020429F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CA279A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odsustvo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najavili</w:t>
      </w:r>
      <w:r w:rsidR="00CA279A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CA279A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sljedeći</w:t>
      </w:r>
      <w:r w:rsidR="00CA279A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CA279A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</w:t>
      </w:r>
      <w:r w:rsidR="00CA279A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Đorđe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Popović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Slavko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Gligorić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Fulurija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Crnadak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Galić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Perica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Bundalo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Milenko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Vićanović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Draško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Stanivuković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Švraka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Krsto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Jandrić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Senad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Bratić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Begija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Smajić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Edin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Ramić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Tomica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Stojanović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Darko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Babalj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Darko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Mitrić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Branko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Butulija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Zoran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Vidić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9F2622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Radović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C1806" w:rsidRPr="0020429F" w:rsidRDefault="0020429F" w:rsidP="003E10A6">
      <w:pPr>
        <w:spacing w:after="120" w:line="240" w:lineRule="auto"/>
        <w:ind w:firstLine="28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CC180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C180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najavio</w:t>
      </w:r>
      <w:r w:rsidR="00CC180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C180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CC180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C180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C180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332218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Informaciji</w:t>
      </w:r>
      <w:r w:rsidR="00332218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izjasniti</w:t>
      </w:r>
      <w:r w:rsidR="00332218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332218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zaključke</w:t>
      </w:r>
      <w:r w:rsidR="00CC180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klubova</w:t>
      </w:r>
      <w:r w:rsidR="00CC180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poslanika</w:t>
      </w:r>
      <w:r w:rsidR="00CC180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SNSD</w:t>
      </w:r>
      <w:r w:rsidR="00AC19F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DNS</w:t>
      </w:r>
      <w:r w:rsidR="007341A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</w:t>
      </w:r>
      <w:r w:rsidR="007341A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DEMOS</w:t>
      </w:r>
      <w:r w:rsidR="007341A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NDP</w:t>
      </w:r>
      <w:r w:rsidR="007341A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341A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AC19F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B0DE5" w:rsidRPr="0020429F" w:rsidRDefault="0020429F" w:rsidP="003E10A6">
      <w:pPr>
        <w:spacing w:after="0" w:line="240" w:lineRule="auto"/>
        <w:ind w:firstLine="28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usvojila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987388" w:rsidRPr="0020429F" w:rsidRDefault="00987388" w:rsidP="00E459A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B0DE5" w:rsidRPr="0020429F" w:rsidRDefault="0020429F" w:rsidP="00CB0DE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</w:t>
      </w:r>
      <w:r w:rsidR="00CB0DE5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CB0DE5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</w:t>
      </w:r>
      <w:r w:rsidR="00CB0DE5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Lj</w:t>
      </w:r>
      <w:r w:rsidR="00CB0DE5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</w:t>
      </w:r>
      <w:r w:rsidR="00CB0DE5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</w:t>
      </w:r>
      <w:r w:rsidR="00CB0DE5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32218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CB0DE5" w:rsidRPr="0020429F" w:rsidRDefault="0020429F" w:rsidP="00CB0DE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vezi</w:t>
      </w:r>
      <w:r w:rsidR="00CB0DE5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332218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Informacijom</w:t>
      </w:r>
      <w:r w:rsidR="00CB0DE5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CB0DE5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neustavnoj</w:t>
      </w:r>
      <w:r w:rsidR="00CB0DE5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transformaciji</w:t>
      </w:r>
      <w:r w:rsidR="00CB0DE5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dejtonske</w:t>
      </w:r>
      <w:r w:rsidR="00CB0DE5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strukture</w:t>
      </w:r>
      <w:r w:rsidR="00CB0DE5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uticaju</w:t>
      </w:r>
      <w:r w:rsidR="00CB0DE5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CB0DE5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položaj</w:t>
      </w:r>
      <w:r w:rsidR="00CB0DE5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prava</w:t>
      </w:r>
      <w:r w:rsidR="00CB0DE5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</w:p>
    <w:p w:rsidR="00CB0DE5" w:rsidRPr="0020429F" w:rsidRDefault="00CB0DE5" w:rsidP="00CB0DE5">
      <w:pPr>
        <w:spacing w:after="0" w:line="240" w:lineRule="auto"/>
        <w:jc w:val="center"/>
        <w:rPr>
          <w:rFonts w:asciiTheme="majorHAnsi" w:hAnsiTheme="majorHAnsi" w:cs="Times New Roman"/>
          <w:b/>
          <w:noProof/>
          <w:sz w:val="24"/>
          <w:szCs w:val="24"/>
          <w:lang w:val="sr-Latn-CS"/>
        </w:rPr>
      </w:pPr>
    </w:p>
    <w:p w:rsidR="00CB0DE5" w:rsidRPr="0020429F" w:rsidRDefault="0020429F" w:rsidP="00CB0DE5">
      <w:pPr>
        <w:numPr>
          <w:ilvl w:val="0"/>
          <w:numId w:val="3"/>
        </w:numPr>
        <w:spacing w:after="0" w:line="240" w:lineRule="auto"/>
        <w:ind w:left="850" w:hanging="491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usvaja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neustavnoj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transformaciji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dejtonske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strukture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položaj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B0DE5" w:rsidRPr="0020429F" w:rsidRDefault="0020429F" w:rsidP="00CB0DE5">
      <w:pPr>
        <w:numPr>
          <w:ilvl w:val="0"/>
          <w:numId w:val="3"/>
        </w:numPr>
        <w:spacing w:after="0" w:line="240" w:lineRule="auto"/>
        <w:ind w:left="850" w:hanging="491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odbacuje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protivustavni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Opštim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okvirnim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sporazumom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nastaviti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djelovati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ustavnim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načelom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Dejtonskim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sporazumom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sastavljena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entiteta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Federacije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Stavovi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ustavnim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načelom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dovode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narušavanja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ustrojstva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Federacije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ugrožavaju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stabilnost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B0DE5" w:rsidRPr="0020429F" w:rsidRDefault="0020429F" w:rsidP="00CB0DE5">
      <w:pPr>
        <w:numPr>
          <w:ilvl w:val="0"/>
          <w:numId w:val="3"/>
        </w:numPr>
        <w:spacing w:after="0" w:line="240" w:lineRule="auto"/>
        <w:ind w:left="851" w:hanging="491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udar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konstitutivne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ravnopravne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entitete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udarom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EA41B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>â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EA41B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Dejtonski</w:t>
      </w:r>
      <w:r w:rsidR="00EA41B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EA41B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A41B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ustavnopravnu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strukturu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složene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reagovati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protivpravne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protivustavne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faktora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usmjerene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urušavanje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Dejtonskog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B0DE5" w:rsidRPr="0020429F" w:rsidRDefault="0020429F" w:rsidP="00CB0DE5">
      <w:pPr>
        <w:numPr>
          <w:ilvl w:val="0"/>
          <w:numId w:val="3"/>
        </w:numPr>
        <w:spacing w:after="0" w:line="240" w:lineRule="auto"/>
        <w:ind w:left="851" w:hanging="491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Ističemo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nastala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saglasnošću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Federacije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saglasnošću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entiteta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postojati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kakva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težnja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izmjenom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složene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dejtonske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strukture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apsolutno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nedopustiva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dovesti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neželjenih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posljedica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B0DE5" w:rsidRPr="0020429F" w:rsidRDefault="0020429F" w:rsidP="00CB0DE5">
      <w:pPr>
        <w:numPr>
          <w:ilvl w:val="0"/>
          <w:numId w:val="3"/>
        </w:numPr>
        <w:spacing w:after="0" w:line="240" w:lineRule="auto"/>
        <w:ind w:left="851" w:hanging="491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zahtijeva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potpisnica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svjedoka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Dejtonskog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reaguju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akata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pozivaju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razgradnju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Dejtonskog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aktivnost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njegovim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odredbama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principima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pokretanje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procedura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Federacija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vratiti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B0DE5" w:rsidRPr="0020429F" w:rsidRDefault="0020429F" w:rsidP="00CB0DE5">
      <w:pPr>
        <w:numPr>
          <w:ilvl w:val="0"/>
          <w:numId w:val="3"/>
        </w:numPr>
        <w:spacing w:after="0" w:line="240" w:lineRule="auto"/>
        <w:ind w:left="851" w:hanging="491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izostanka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reakcije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potpisnica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svjedoka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Dejtonskog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pokušaje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razgradnje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Dejtonskog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657E8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657E8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pristupiti</w:t>
      </w:r>
      <w:r w:rsidR="00657E8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donošenju</w:t>
      </w:r>
      <w:r w:rsidR="00657E8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="00657E8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izjasniti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0471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građani</w:t>
      </w:r>
      <w:r w:rsidR="0090471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90471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referendumu</w:t>
      </w:r>
      <w:r w:rsidR="0090471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="0090471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zasnivaće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izvornim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principima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Dejtonskog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omogućiće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povrat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oduzetih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funkcionisanje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Dejtonskim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sporazumom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B0DE5" w:rsidRPr="0020429F" w:rsidRDefault="0020429F" w:rsidP="00CB0DE5">
      <w:pPr>
        <w:numPr>
          <w:ilvl w:val="0"/>
          <w:numId w:val="3"/>
        </w:numPr>
        <w:spacing w:after="0" w:line="240" w:lineRule="auto"/>
        <w:ind w:left="851" w:hanging="491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zadužuje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preduzmu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sveobuhvatne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okolnostima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dovele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davanju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formiranju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odbrani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indirektnom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oporezivanju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sudskom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tužilačkom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savjetu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derogirane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90471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0471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90471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nametnuti</w:t>
      </w:r>
      <w:r w:rsidR="0090471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0471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90471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ugrožava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položaj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zagarantovan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Dejtonskim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sporazumom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B0DE5" w:rsidRPr="0020429F" w:rsidRDefault="0020429F" w:rsidP="00CB0DE5">
      <w:pPr>
        <w:numPr>
          <w:ilvl w:val="0"/>
          <w:numId w:val="3"/>
        </w:numPr>
        <w:spacing w:after="0" w:line="240" w:lineRule="auto"/>
        <w:ind w:left="851" w:hanging="491"/>
        <w:contextualSpacing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reagovati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određivanja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budućeg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statusa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kakvih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nastojanja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protivustavne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teritorijalne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reorganizacije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kakvih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urušavanju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teritorijalne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Istočno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Sarajevo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usmjerenih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transformaciju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dekonstrukciju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Dejtonskog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strukturu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stvorena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B0DE5" w:rsidRPr="0020429F" w:rsidRDefault="0020429F" w:rsidP="00CB0DE5">
      <w:pPr>
        <w:numPr>
          <w:ilvl w:val="0"/>
          <w:numId w:val="3"/>
        </w:numPr>
        <w:spacing w:after="0" w:line="240" w:lineRule="auto"/>
        <w:ind w:left="851" w:hanging="491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suvereniteta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prihvata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entitete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konstitutivne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kakvo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nametanje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suvereniteta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neustavan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antidejtonski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karakter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posjeduje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ograničeni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izvedeni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suverentitet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ogleda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djelovanju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trećim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suverenitet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pripada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Federaciji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B0DE5" w:rsidRPr="0020429F" w:rsidRDefault="00CB0DE5" w:rsidP="00CB0DE5">
      <w:pPr>
        <w:numPr>
          <w:ilvl w:val="0"/>
          <w:numId w:val="3"/>
        </w:num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0471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90471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0471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najvažnije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načelo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Dejtonskog</w:t>
      </w:r>
      <w:r w:rsidR="00EA41B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EA41B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A41B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EA41B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IV</w:t>
      </w:r>
      <w:r w:rsidR="00EA41B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ističe</w:t>
      </w:r>
      <w:r w:rsidR="00EA41B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EA41B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konstitutivnih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naroda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principima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međunarodnih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dokumenata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promovišu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naroda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dio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ustavnog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samoopredjeljenje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okvirima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Dejtonskog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podrazumijeva</w:t>
      </w:r>
      <w:r w:rsidR="00EA41B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očuvanje</w:t>
      </w:r>
      <w:r w:rsidR="00EA41B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dejtonske</w:t>
      </w:r>
      <w:r w:rsidR="00EA41B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strukture</w:t>
      </w:r>
      <w:r w:rsidR="00EA41B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A41B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široke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autonomije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entiteta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utvrđene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Ustavom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ograničene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taksativno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nabrojane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3.1.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dok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entiteta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one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Ustavom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izričito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dodijeljene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potvrđuju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mehanizmi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entitetskih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konstitutivnih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0429F">
        <w:rPr>
          <w:rFonts w:ascii="Times New Roman" w:hAnsi="Times New Roman" w:cs="Times New Roman"/>
          <w:noProof/>
          <w:sz w:val="24"/>
          <w:szCs w:val="24"/>
          <w:lang w:val="sr-Latn-CS"/>
        </w:rPr>
        <w:t>naroda</w:t>
      </w:r>
      <w:r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B0DE5" w:rsidRPr="0020429F" w:rsidRDefault="0020429F" w:rsidP="00CB0DE5">
      <w:p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negiranja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samoopredjeljenje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proklamovano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Poveljom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Ujedinjenih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daljoj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podršci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razgradnji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Dejtonskog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zadržava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konačno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budućem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statusu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B0DE5" w:rsidRPr="0020429F" w:rsidRDefault="0020429F" w:rsidP="00CB0DE5">
      <w:pPr>
        <w:numPr>
          <w:ilvl w:val="0"/>
          <w:numId w:val="3"/>
        </w:numPr>
        <w:spacing w:after="0" w:line="240" w:lineRule="auto"/>
        <w:ind w:left="851" w:hanging="491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odbacuje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djelovanje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usmjereno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izvornog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Dejtonskog</w:t>
      </w:r>
      <w:r w:rsidR="00657E8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57E8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57E8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657E8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657E8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IV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temelj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postojanja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zvaničnika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djelovanje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Ustavom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budućnosti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reakciju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Djelovanje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stavovima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zakonodavnog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ustavnopravnog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smatraće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ugrožavanjem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suvereniteta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poretka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Takve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odrediti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krivično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Krivičnom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B0DE5" w:rsidRPr="0020429F" w:rsidRDefault="0020429F" w:rsidP="00CB0DE5">
      <w:pPr>
        <w:numPr>
          <w:ilvl w:val="0"/>
          <w:numId w:val="3"/>
        </w:numPr>
        <w:spacing w:after="0" w:line="240" w:lineRule="auto"/>
        <w:ind w:left="851" w:hanging="491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Predsjedništvu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Predstavničkom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Parlamentarne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Savjetu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učestvuju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mijenjanju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akata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izmjenama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smanjuje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glasova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glasova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donošenje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B0DE5" w:rsidRPr="0020429F" w:rsidRDefault="0020429F" w:rsidP="00CB0DE5">
      <w:pPr>
        <w:numPr>
          <w:ilvl w:val="0"/>
          <w:numId w:val="3"/>
        </w:numPr>
        <w:spacing w:after="0" w:line="240" w:lineRule="auto"/>
        <w:ind w:left="850" w:hanging="491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sistematska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nelegalna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unitarizacija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činjena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nepravnim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postupcima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brutalna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kršenja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strukture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prihvata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neustavnoj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unitarizaciji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zahtijeva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nosilaca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zajedničkim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usmjere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povrat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entiteta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B0DE5" w:rsidRPr="0020429F" w:rsidRDefault="0020429F" w:rsidP="00CB0DE5">
      <w:pPr>
        <w:numPr>
          <w:ilvl w:val="0"/>
          <w:numId w:val="3"/>
        </w:numPr>
        <w:spacing w:after="0" w:line="240" w:lineRule="auto"/>
        <w:ind w:left="850" w:hanging="491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poštovanju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suvereniteta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vladavine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inicijativu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ukidanje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Kancelarije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Postojanje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djelovanje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neizabranog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zvaničnika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ikakve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prisvojio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neograničena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zakonodavna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podliježu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nikakvoj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kršenje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X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Dejtonskog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X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Dejtonskog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saglasnošću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entiteta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ustanovljena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zakonski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autoritet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daju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kakve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obavezujuće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Neprihvatljiv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neproduktivan</w:t>
      </w:r>
      <w:r w:rsidR="00657E8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dalji</w:t>
      </w:r>
      <w:r w:rsidR="00657E8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ostanak</w:t>
      </w:r>
      <w:r w:rsidR="00657E8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57E8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ponašanje</w:t>
      </w:r>
      <w:r w:rsidR="00657E8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češće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doprinose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nesporazumima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nego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sporazumima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B0DE5" w:rsidRPr="0020429F" w:rsidRDefault="0020429F" w:rsidP="00CB0DE5">
      <w:pPr>
        <w:numPr>
          <w:ilvl w:val="0"/>
          <w:numId w:val="3"/>
        </w:numPr>
        <w:spacing w:after="0" w:line="240" w:lineRule="auto"/>
        <w:ind w:left="851" w:hanging="491"/>
        <w:contextualSpacing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odbacuje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bonska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potpuno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neustavna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nelegitimna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budući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flagrantnu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povredu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ustrojstva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kršenje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ljudskih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instrumenata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CB0DE5" w:rsidRPr="0020429F" w:rsidRDefault="0020429F" w:rsidP="00CB0DE5">
      <w:pPr>
        <w:numPr>
          <w:ilvl w:val="0"/>
          <w:numId w:val="3"/>
        </w:numPr>
        <w:spacing w:after="0" w:line="240" w:lineRule="auto"/>
        <w:ind w:left="851" w:hanging="491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legitimitet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prisustva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sudija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političkim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nego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djelovanjem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nanose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nemjerljivu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Neprihvatljivo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prisustvo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sudija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Ustavnom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svijetu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ustavnom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mjesta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rezervisana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sudije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dokazuje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suverena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zemlja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Prisustvo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sudija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Ustavnom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nespojivo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opredjeljenošću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budućnost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CB0DE5" w:rsidRPr="0020429F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praksi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atipične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modernom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ustavnom</w:t>
      </w:r>
      <w:r w:rsidR="00EA41B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sudstvu</w:t>
      </w:r>
      <w:r w:rsidR="00EA41B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EA41B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još</w:t>
      </w:r>
      <w:r w:rsidR="00EA41B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proširuje</w:t>
      </w:r>
      <w:r w:rsidR="00EA41B7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apsolutno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nedopustivo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B0DE5" w:rsidRPr="0020429F" w:rsidRDefault="0020429F" w:rsidP="00CB0DE5">
      <w:pPr>
        <w:numPr>
          <w:ilvl w:val="0"/>
          <w:numId w:val="3"/>
        </w:numPr>
        <w:spacing w:after="0" w:line="240" w:lineRule="auto"/>
        <w:ind w:left="851" w:hanging="491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zadužuje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pregovore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Vladom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Federacije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urgentnog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usaglašavanja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Ustavnom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regulisan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sastav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funkcionisanje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temeljnim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principima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otklonjene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prepreke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napredak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657E8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657E8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Evropskoj</w:t>
      </w:r>
      <w:r w:rsidR="00657E8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uniji</w:t>
      </w:r>
      <w:r w:rsidR="00657E8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57E8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narednom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rehabilitaciji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smijenjenih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smijenjeni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B0DE5" w:rsidRPr="0020429F" w:rsidRDefault="0020429F" w:rsidP="00CB0DE5">
      <w:pPr>
        <w:numPr>
          <w:ilvl w:val="0"/>
          <w:numId w:val="3"/>
        </w:numPr>
        <w:spacing w:after="0" w:line="240" w:lineRule="auto"/>
        <w:ind w:left="850" w:hanging="491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zadužuje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pokrenu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reformu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pravosuđa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Tužilaštva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tužilačkog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savjeta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nametnuo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nezakonitim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suprotno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57E8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spriječi</w:t>
      </w:r>
      <w:r w:rsidR="00657E8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proširenu</w:t>
      </w:r>
      <w:r w:rsidR="00657E8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</w:t>
      </w:r>
      <w:r w:rsidR="00657E8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krivične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entiteta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formiranje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nezavisnog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apelacionog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ograničena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Reforme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nužne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obezbijedilo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Tužilaštvo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nezavisno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oslobođeno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dominacije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političke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konstitutivnog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uticaja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Entitetske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entitetskim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sudijama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tužiocima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pogledu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sudija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tužilaca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ravnomjerno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raspoređena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entitetskih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B0DE5" w:rsidRPr="0020429F" w:rsidRDefault="0020429F" w:rsidP="00CB0DE5">
      <w:pPr>
        <w:numPr>
          <w:ilvl w:val="0"/>
          <w:numId w:val="3"/>
        </w:numPr>
        <w:spacing w:after="0" w:line="240" w:lineRule="auto"/>
        <w:ind w:left="851" w:hanging="491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zadužuje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analizira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efekte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neustavnih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entiteta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uključujući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prenesene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tzv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međuentitetskih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odbrane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indirektnih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izvijesti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pokretanja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razgovora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entiteta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legitimnih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konstitutivnih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preispitivanju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njihove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efikasnosti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zadužuje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omogućilo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eventualno</w:t>
      </w:r>
      <w:r w:rsidR="00CB0DE5" w:rsidRPr="0020429F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izdvajanje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PDV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otvaranje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PDV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budući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indirektno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oporezivanje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načinom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raspodjele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prikupljenih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šteta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C1806" w:rsidRDefault="0020429F" w:rsidP="00011AA8">
      <w:pPr>
        <w:numPr>
          <w:ilvl w:val="0"/>
          <w:numId w:val="3"/>
        </w:numPr>
        <w:spacing w:after="0" w:line="240" w:lineRule="auto"/>
        <w:ind w:left="850" w:hanging="49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nastaviti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djelovati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Rezolucijom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poretka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vojnoj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neutralnosti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obavezala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vojnu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neutralnost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podržava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saradnju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NATO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njenim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ključnim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članicama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pitanjima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bezbjednosti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članstvu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NATO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najprije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toga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neprihvatljivim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formiranje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NATO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granice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ogromnih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pristupanje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savezu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proizvelo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nasilnih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pokušaja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pristupanja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NATO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savezu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referendum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odlučiti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članstvu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0DE5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657E8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57E8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657E8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kakvim</w:t>
      </w:r>
      <w:r w:rsidR="00657E8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vojnim</w:t>
      </w:r>
      <w:r w:rsidR="00657E8C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savezima</w:t>
      </w:r>
      <w:r w:rsidR="00011AA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11AA8" w:rsidRPr="003E10A6" w:rsidRDefault="00011AA8" w:rsidP="003E10A6">
      <w:pPr>
        <w:numPr>
          <w:ilvl w:val="0"/>
          <w:numId w:val="3"/>
        </w:numPr>
        <w:spacing w:after="120" w:line="240" w:lineRule="auto"/>
        <w:ind w:left="850" w:hanging="493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 zaključci stupaju na snagu narednog dana od dana objavljivanja u „Službenom glasniku Republike Srpske“.</w:t>
      </w:r>
    </w:p>
    <w:p w:rsidR="00987388" w:rsidRDefault="0020429F" w:rsidP="0098738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83436" w:rsidRPr="0020429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A519F" w:rsidRPr="0020429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53</w:t>
      </w:r>
      <w:r w:rsidR="00D83436" w:rsidRPr="0020429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="00D83436" w:rsidRPr="0020429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E54606" w:rsidRPr="0020429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''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E54606" w:rsidRPr="0020429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''</w:t>
      </w:r>
      <w:r w:rsidR="00D83436" w:rsidRPr="0020429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D83436" w:rsidRPr="0020429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E54606" w:rsidRPr="0020429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''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E54606" w:rsidRPr="0020429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''</w:t>
      </w:r>
      <w:r w:rsidR="00D83436" w:rsidRPr="0020429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D83436" w:rsidRPr="0020429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D83436" w:rsidRPr="0020429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="00E54606" w:rsidRPr="0020429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''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uzdržanim</w:t>
      </w:r>
      <w:r w:rsidR="00E54606" w:rsidRPr="0020429F">
        <w:rPr>
          <w:rFonts w:ascii="Times New Roman" w:hAnsi="Times New Roman" w:cs="Times New Roman"/>
          <w:b/>
          <w:i/>
          <w:noProof/>
          <w:sz w:val="24"/>
          <w:szCs w:val="24"/>
          <w:lang w:val="sr-Latn-CS"/>
        </w:rPr>
        <w:t>''</w:t>
      </w:r>
      <w:r w:rsidR="00987388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C1806" w:rsidRPr="0020429F" w:rsidRDefault="00CC1806" w:rsidP="003E10A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E071D" w:rsidRPr="0020429F" w:rsidRDefault="0020429F" w:rsidP="003E10A6">
      <w:pPr>
        <w:spacing w:after="120" w:line="240" w:lineRule="auto"/>
        <w:ind w:firstLine="28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zaključio</w:t>
      </w:r>
      <w:r w:rsidR="00AF3BB9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Sedmu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posebnu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sjednicu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D83436" w:rsidRPr="0020429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548FE" w:rsidRPr="0066306D" w:rsidRDefault="0020429F" w:rsidP="0066306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EA41B7" w:rsidRPr="002042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="00EA41B7" w:rsidRPr="002042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292765" w:rsidRPr="002042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="00292765" w:rsidRPr="002042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92765" w:rsidRPr="002042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="00AF3BB9" w:rsidRPr="002042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="00AF3BB9" w:rsidRPr="002042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Sedme</w:t>
      </w:r>
      <w:r w:rsidR="00AF3BB9" w:rsidRPr="002042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AF3BB9" w:rsidRPr="002042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AF3BB9" w:rsidRPr="002042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AF3BB9" w:rsidRPr="002042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AF3BB9" w:rsidRPr="002042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AF3BB9" w:rsidRPr="002042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AF3BB9" w:rsidRPr="0020429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bookmarkStart w:id="0" w:name="_GoBack"/>
      <w:bookmarkEnd w:id="0"/>
    </w:p>
    <w:p w:rsidR="00EA41B7" w:rsidRPr="0020429F" w:rsidRDefault="00EA41B7" w:rsidP="00E459A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83436" w:rsidRPr="0020429F" w:rsidRDefault="0020429F" w:rsidP="00E459AD">
      <w:pPr>
        <w:pStyle w:val="NoSpacing"/>
        <w:rPr>
          <w:rFonts w:ascii="Times New Roman" w:hAnsi="Times New Roman"/>
          <w:b/>
          <w:noProof/>
          <w:szCs w:val="24"/>
          <w:lang w:val="sr-Latn-CS"/>
        </w:rPr>
      </w:pPr>
      <w:r>
        <w:rPr>
          <w:rFonts w:ascii="Times New Roman" w:hAnsi="Times New Roman"/>
          <w:b/>
          <w:noProof/>
          <w:szCs w:val="24"/>
          <w:lang w:val="sr-Latn-CS"/>
        </w:rPr>
        <w:t>GENERALNI</w:t>
      </w:r>
      <w:r w:rsidR="00D83436" w:rsidRPr="0020429F">
        <w:rPr>
          <w:rFonts w:ascii="Times New Roman" w:hAnsi="Times New Roman"/>
          <w:b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Cs w:val="24"/>
          <w:lang w:val="sr-Latn-CS"/>
        </w:rPr>
        <w:t>SEKRETAR</w:t>
      </w:r>
      <w:r w:rsidR="00D83436" w:rsidRPr="0020429F">
        <w:rPr>
          <w:rFonts w:ascii="Times New Roman" w:hAnsi="Times New Roman"/>
          <w:b/>
          <w:noProof/>
          <w:szCs w:val="24"/>
          <w:lang w:val="sr-Latn-CS"/>
        </w:rPr>
        <w:t xml:space="preserve">                                                                   </w:t>
      </w:r>
      <w:r>
        <w:rPr>
          <w:rFonts w:ascii="Times New Roman" w:hAnsi="Times New Roman"/>
          <w:b/>
          <w:noProof/>
          <w:szCs w:val="24"/>
          <w:lang w:val="sr-Latn-CS"/>
        </w:rPr>
        <w:t>PREDSJEDNIK</w:t>
      </w:r>
    </w:p>
    <w:p w:rsidR="00D83436" w:rsidRPr="0020429F" w:rsidRDefault="0020429F" w:rsidP="00E459AD">
      <w:pPr>
        <w:pStyle w:val="NoSpacing"/>
        <w:rPr>
          <w:rFonts w:ascii="Times New Roman" w:hAnsi="Times New Roman"/>
          <w:b/>
          <w:noProof/>
          <w:szCs w:val="24"/>
          <w:lang w:val="sr-Latn-CS"/>
        </w:rPr>
      </w:pPr>
      <w:r>
        <w:rPr>
          <w:rFonts w:ascii="Times New Roman" w:hAnsi="Times New Roman"/>
          <w:b/>
          <w:noProof/>
          <w:szCs w:val="24"/>
          <w:lang w:val="sr-Latn-CS"/>
        </w:rPr>
        <w:t>NARODNE</w:t>
      </w:r>
      <w:r w:rsidR="00D83436" w:rsidRPr="0020429F">
        <w:rPr>
          <w:rFonts w:ascii="Times New Roman" w:hAnsi="Times New Roman"/>
          <w:b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Cs w:val="24"/>
          <w:lang w:val="sr-Latn-CS"/>
        </w:rPr>
        <w:t>SKUPŠTINE</w:t>
      </w:r>
      <w:r w:rsidR="00D83436" w:rsidRPr="0020429F">
        <w:rPr>
          <w:rFonts w:ascii="Times New Roman" w:hAnsi="Times New Roman"/>
          <w:b/>
          <w:noProof/>
          <w:szCs w:val="24"/>
          <w:lang w:val="sr-Latn-CS"/>
        </w:rPr>
        <w:t xml:space="preserve">                                                         </w:t>
      </w:r>
      <w:r>
        <w:rPr>
          <w:rFonts w:ascii="Times New Roman" w:hAnsi="Times New Roman"/>
          <w:b/>
          <w:noProof/>
          <w:szCs w:val="24"/>
          <w:lang w:val="sr-Latn-CS"/>
        </w:rPr>
        <w:t xml:space="preserve">     NARODNE</w:t>
      </w:r>
      <w:r w:rsidR="00D83436" w:rsidRPr="0020429F">
        <w:rPr>
          <w:rFonts w:ascii="Times New Roman" w:hAnsi="Times New Roman"/>
          <w:b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Cs w:val="24"/>
          <w:lang w:val="sr-Latn-CS"/>
        </w:rPr>
        <w:t>SKUPŠTINE</w:t>
      </w:r>
    </w:p>
    <w:p w:rsidR="00D83436" w:rsidRPr="0020429F" w:rsidRDefault="00D83436" w:rsidP="00E459AD">
      <w:pPr>
        <w:pStyle w:val="NoSpacing"/>
        <w:jc w:val="both"/>
        <w:rPr>
          <w:rFonts w:ascii="Times New Roman" w:hAnsi="Times New Roman"/>
          <w:b/>
          <w:noProof/>
          <w:szCs w:val="24"/>
          <w:lang w:val="sr-Latn-CS"/>
        </w:rPr>
      </w:pPr>
    </w:p>
    <w:p w:rsidR="00D83436" w:rsidRPr="0020429F" w:rsidRDefault="00D83436" w:rsidP="00E459AD">
      <w:pPr>
        <w:pStyle w:val="NoSpacing"/>
        <w:jc w:val="both"/>
        <w:rPr>
          <w:rFonts w:ascii="Times New Roman" w:hAnsi="Times New Roman"/>
          <w:b/>
          <w:noProof/>
          <w:szCs w:val="24"/>
          <w:lang w:val="sr-Latn-CS"/>
        </w:rPr>
      </w:pPr>
    </w:p>
    <w:p w:rsidR="00B15F5F" w:rsidRPr="003E10A6" w:rsidRDefault="00904717" w:rsidP="003E10A6">
      <w:pPr>
        <w:pStyle w:val="NoSpacing"/>
        <w:rPr>
          <w:rFonts w:ascii="Times New Roman" w:hAnsi="Times New Roman"/>
          <w:i/>
          <w:noProof/>
          <w:lang w:val="sr-Latn-CS"/>
        </w:rPr>
      </w:pPr>
      <w:r w:rsidRPr="0020429F">
        <w:rPr>
          <w:rFonts w:ascii="Times New Roman" w:hAnsi="Times New Roman"/>
          <w:b/>
          <w:i/>
          <w:noProof/>
          <w:szCs w:val="24"/>
          <w:lang w:val="sr-Latn-CS"/>
        </w:rPr>
        <w:t xml:space="preserve">  </w:t>
      </w:r>
      <w:r w:rsidR="00750E9B" w:rsidRPr="0020429F">
        <w:rPr>
          <w:rFonts w:ascii="Times New Roman" w:hAnsi="Times New Roman"/>
          <w:b/>
          <w:i/>
          <w:noProof/>
          <w:szCs w:val="24"/>
          <w:lang w:val="sr-Latn-CS"/>
        </w:rPr>
        <w:t xml:space="preserve"> </w:t>
      </w:r>
      <w:r w:rsidR="0020429F">
        <w:rPr>
          <w:rFonts w:ascii="Times New Roman" w:hAnsi="Times New Roman"/>
          <w:b/>
          <w:i/>
          <w:noProof/>
          <w:szCs w:val="24"/>
          <w:lang w:val="sr-Latn-CS"/>
        </w:rPr>
        <w:t>Nebojša</w:t>
      </w:r>
      <w:r w:rsidR="00D83436" w:rsidRPr="0020429F">
        <w:rPr>
          <w:rFonts w:ascii="Times New Roman" w:hAnsi="Times New Roman"/>
          <w:b/>
          <w:i/>
          <w:noProof/>
          <w:szCs w:val="24"/>
          <w:lang w:val="sr-Latn-CS"/>
        </w:rPr>
        <w:t xml:space="preserve"> </w:t>
      </w:r>
      <w:r w:rsidR="0020429F">
        <w:rPr>
          <w:rFonts w:ascii="Times New Roman" w:hAnsi="Times New Roman"/>
          <w:b/>
          <w:i/>
          <w:noProof/>
          <w:szCs w:val="24"/>
          <w:lang w:val="sr-Latn-CS"/>
        </w:rPr>
        <w:t>Zgonjanin</w:t>
      </w:r>
      <w:r w:rsidR="00D83436" w:rsidRPr="0020429F">
        <w:rPr>
          <w:rFonts w:ascii="Times New Roman" w:hAnsi="Times New Roman"/>
          <w:b/>
          <w:i/>
          <w:noProof/>
          <w:szCs w:val="24"/>
          <w:lang w:val="sr-Latn-CS"/>
        </w:rPr>
        <w:t xml:space="preserve">                                                                           </w:t>
      </w:r>
      <w:r w:rsidRPr="0020429F">
        <w:rPr>
          <w:rFonts w:ascii="Times New Roman" w:hAnsi="Times New Roman"/>
          <w:b/>
          <w:i/>
          <w:noProof/>
          <w:szCs w:val="24"/>
          <w:lang w:val="sr-Latn-CS"/>
        </w:rPr>
        <w:t xml:space="preserve"> </w:t>
      </w:r>
      <w:r w:rsidR="0020429F">
        <w:rPr>
          <w:rFonts w:ascii="Times New Roman" w:hAnsi="Times New Roman"/>
          <w:b/>
          <w:i/>
          <w:noProof/>
          <w:szCs w:val="24"/>
          <w:lang w:val="sr-Latn-CS"/>
        </w:rPr>
        <w:t>Nedeljko</w:t>
      </w:r>
      <w:r w:rsidR="00D83436" w:rsidRPr="0020429F">
        <w:rPr>
          <w:rFonts w:ascii="Times New Roman" w:hAnsi="Times New Roman"/>
          <w:b/>
          <w:i/>
          <w:noProof/>
          <w:szCs w:val="24"/>
          <w:lang w:val="sr-Latn-CS"/>
        </w:rPr>
        <w:t xml:space="preserve"> </w:t>
      </w:r>
      <w:r w:rsidR="0020429F">
        <w:rPr>
          <w:rFonts w:ascii="Times New Roman" w:hAnsi="Times New Roman"/>
          <w:b/>
          <w:i/>
          <w:noProof/>
          <w:szCs w:val="24"/>
          <w:lang w:val="sr-Latn-CS"/>
        </w:rPr>
        <w:t>Čubrilović</w:t>
      </w:r>
    </w:p>
    <w:sectPr w:rsidR="00B15F5F" w:rsidRPr="003E10A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F32" w:rsidRDefault="00250F32" w:rsidP="00750E9B">
      <w:pPr>
        <w:spacing w:after="0" w:line="240" w:lineRule="auto"/>
      </w:pPr>
      <w:r>
        <w:separator/>
      </w:r>
    </w:p>
  </w:endnote>
  <w:endnote w:type="continuationSeparator" w:id="0">
    <w:p w:rsidR="00250F32" w:rsidRDefault="00250F32" w:rsidP="00750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03120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0E9B" w:rsidRDefault="00750E9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306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50E9B" w:rsidRDefault="00750E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F32" w:rsidRDefault="00250F32" w:rsidP="00750E9B">
      <w:pPr>
        <w:spacing w:after="0" w:line="240" w:lineRule="auto"/>
      </w:pPr>
      <w:r>
        <w:separator/>
      </w:r>
    </w:p>
  </w:footnote>
  <w:footnote w:type="continuationSeparator" w:id="0">
    <w:p w:rsidR="00250F32" w:rsidRDefault="00250F32" w:rsidP="00750E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30A6F"/>
    <w:multiLevelType w:val="hybridMultilevel"/>
    <w:tmpl w:val="C188FD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A04C4A"/>
    <w:multiLevelType w:val="hybridMultilevel"/>
    <w:tmpl w:val="FE080D96"/>
    <w:lvl w:ilvl="0" w:tplc="98FEB00C">
      <w:start w:val="1"/>
      <w:numFmt w:val="decimal"/>
      <w:lvlText w:val="%1."/>
      <w:lvlJc w:val="left"/>
      <w:pPr>
        <w:ind w:left="720" w:hanging="360"/>
      </w:pPr>
      <w:rPr>
        <w:i w:val="0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2C6F04"/>
    <w:multiLevelType w:val="hybridMultilevel"/>
    <w:tmpl w:val="8020E606"/>
    <w:lvl w:ilvl="0" w:tplc="58AE968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436"/>
    <w:rsid w:val="00001255"/>
    <w:rsid w:val="0001104F"/>
    <w:rsid w:val="00011AA8"/>
    <w:rsid w:val="0001746C"/>
    <w:rsid w:val="000409F2"/>
    <w:rsid w:val="000A2877"/>
    <w:rsid w:val="000B4A9B"/>
    <w:rsid w:val="000F2518"/>
    <w:rsid w:val="000F759D"/>
    <w:rsid w:val="0010115D"/>
    <w:rsid w:val="0014362B"/>
    <w:rsid w:val="00177CC2"/>
    <w:rsid w:val="00180193"/>
    <w:rsid w:val="00193E64"/>
    <w:rsid w:val="001978B3"/>
    <w:rsid w:val="001B64A3"/>
    <w:rsid w:val="001E6022"/>
    <w:rsid w:val="0020429F"/>
    <w:rsid w:val="00212B72"/>
    <w:rsid w:val="00250F32"/>
    <w:rsid w:val="0026453A"/>
    <w:rsid w:val="00292765"/>
    <w:rsid w:val="002B5655"/>
    <w:rsid w:val="002E071D"/>
    <w:rsid w:val="003061D1"/>
    <w:rsid w:val="00332218"/>
    <w:rsid w:val="003A46B0"/>
    <w:rsid w:val="003A5C2D"/>
    <w:rsid w:val="003D5082"/>
    <w:rsid w:val="003E10A6"/>
    <w:rsid w:val="00470594"/>
    <w:rsid w:val="0049349E"/>
    <w:rsid w:val="00497CA9"/>
    <w:rsid w:val="004A5B3B"/>
    <w:rsid w:val="004A7C43"/>
    <w:rsid w:val="004F0281"/>
    <w:rsid w:val="005020FD"/>
    <w:rsid w:val="00516ED7"/>
    <w:rsid w:val="00525A84"/>
    <w:rsid w:val="005333AB"/>
    <w:rsid w:val="00536F84"/>
    <w:rsid w:val="00546EA8"/>
    <w:rsid w:val="005B2BA1"/>
    <w:rsid w:val="005F5A55"/>
    <w:rsid w:val="0060159B"/>
    <w:rsid w:val="0060515A"/>
    <w:rsid w:val="006241F0"/>
    <w:rsid w:val="00626320"/>
    <w:rsid w:val="006351D0"/>
    <w:rsid w:val="00657E8C"/>
    <w:rsid w:val="0066306D"/>
    <w:rsid w:val="006810B5"/>
    <w:rsid w:val="00684216"/>
    <w:rsid w:val="00694C87"/>
    <w:rsid w:val="0069529E"/>
    <w:rsid w:val="00706DE0"/>
    <w:rsid w:val="007341A7"/>
    <w:rsid w:val="00750E9B"/>
    <w:rsid w:val="00760048"/>
    <w:rsid w:val="007877F7"/>
    <w:rsid w:val="00796AC2"/>
    <w:rsid w:val="007A3A55"/>
    <w:rsid w:val="007B3578"/>
    <w:rsid w:val="007C32F8"/>
    <w:rsid w:val="007C6070"/>
    <w:rsid w:val="007E0E11"/>
    <w:rsid w:val="0081280F"/>
    <w:rsid w:val="00855D3B"/>
    <w:rsid w:val="00864D14"/>
    <w:rsid w:val="008A4EF8"/>
    <w:rsid w:val="008C6E93"/>
    <w:rsid w:val="008D5A21"/>
    <w:rsid w:val="008D5DC2"/>
    <w:rsid w:val="00904717"/>
    <w:rsid w:val="00927A90"/>
    <w:rsid w:val="00936710"/>
    <w:rsid w:val="00981414"/>
    <w:rsid w:val="00987388"/>
    <w:rsid w:val="009F2622"/>
    <w:rsid w:val="00A46A19"/>
    <w:rsid w:val="00A53EED"/>
    <w:rsid w:val="00A63750"/>
    <w:rsid w:val="00A9139F"/>
    <w:rsid w:val="00AC19FC"/>
    <w:rsid w:val="00AE3118"/>
    <w:rsid w:val="00AE4E8D"/>
    <w:rsid w:val="00AF3BB9"/>
    <w:rsid w:val="00B01D43"/>
    <w:rsid w:val="00B07D9D"/>
    <w:rsid w:val="00B15F5F"/>
    <w:rsid w:val="00B64106"/>
    <w:rsid w:val="00B673C7"/>
    <w:rsid w:val="00B82479"/>
    <w:rsid w:val="00BA5980"/>
    <w:rsid w:val="00BB1851"/>
    <w:rsid w:val="00BB2264"/>
    <w:rsid w:val="00BC03BE"/>
    <w:rsid w:val="00C51A77"/>
    <w:rsid w:val="00C908F5"/>
    <w:rsid w:val="00C943B0"/>
    <w:rsid w:val="00CA0840"/>
    <w:rsid w:val="00CA279A"/>
    <w:rsid w:val="00CA4CDC"/>
    <w:rsid w:val="00CB0DE5"/>
    <w:rsid w:val="00CC1806"/>
    <w:rsid w:val="00D204C8"/>
    <w:rsid w:val="00D234D1"/>
    <w:rsid w:val="00D50E70"/>
    <w:rsid w:val="00D548FE"/>
    <w:rsid w:val="00D67DE6"/>
    <w:rsid w:val="00D75A86"/>
    <w:rsid w:val="00D80FFF"/>
    <w:rsid w:val="00D828D0"/>
    <w:rsid w:val="00D83436"/>
    <w:rsid w:val="00D872CB"/>
    <w:rsid w:val="00DA519F"/>
    <w:rsid w:val="00DF5F3E"/>
    <w:rsid w:val="00E12AA2"/>
    <w:rsid w:val="00E1342B"/>
    <w:rsid w:val="00E1612A"/>
    <w:rsid w:val="00E16363"/>
    <w:rsid w:val="00E41BBD"/>
    <w:rsid w:val="00E459AD"/>
    <w:rsid w:val="00E54606"/>
    <w:rsid w:val="00E57178"/>
    <w:rsid w:val="00EA41B7"/>
    <w:rsid w:val="00EB283C"/>
    <w:rsid w:val="00ED740E"/>
    <w:rsid w:val="00F4089D"/>
    <w:rsid w:val="00F440C6"/>
    <w:rsid w:val="00FC2DB3"/>
    <w:rsid w:val="00FE11FF"/>
    <w:rsid w:val="00FF29FB"/>
    <w:rsid w:val="00FF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05B0AD-0417-42EB-960B-0F40C23AD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r-Cyrl-B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436"/>
    <w:pPr>
      <w:spacing w:after="200" w:line="276" w:lineRule="auto"/>
    </w:pPr>
    <w:rPr>
      <w:rFonts w:asciiTheme="minorHAnsi" w:hAnsiTheme="minorHAnsi" w:cstheme="minorBidi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343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sr-Cyrl-BA" w:eastAsia="sr-Cyrl-BA"/>
    </w:rPr>
  </w:style>
  <w:style w:type="paragraph" w:styleId="NoSpacing">
    <w:name w:val="No Spacing"/>
    <w:basedOn w:val="Normal"/>
    <w:uiPriority w:val="1"/>
    <w:qFormat/>
    <w:rsid w:val="00D83436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sr-Cyrl-BA" w:eastAsia="sr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7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CC2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50E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0E9B"/>
    <w:rPr>
      <w:rFonts w:asciiTheme="minorHAnsi" w:hAnsiTheme="minorHAnsi" w:cstheme="minorBidi"/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50E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0E9B"/>
    <w:rPr>
      <w:rFonts w:ascii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80740-7B37-49A9-9DF6-1F7E3672A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2282</Words>
  <Characters>13013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Veselinka Kresojevic</dc:creator>
  <cp:lastModifiedBy>Srdjan Grbic</cp:lastModifiedBy>
  <cp:revision>11</cp:revision>
  <cp:lastPrinted>2019-11-25T08:29:00Z</cp:lastPrinted>
  <dcterms:created xsi:type="dcterms:W3CDTF">2019-11-20T13:48:00Z</dcterms:created>
  <dcterms:modified xsi:type="dcterms:W3CDTF">2019-11-25T08:30:00Z</dcterms:modified>
</cp:coreProperties>
</file>